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E2C" w:rsidRPr="00B77854" w:rsidRDefault="00874E2C" w:rsidP="00B77854">
      <w:pPr>
        <w:spacing w:line="480" w:lineRule="auto"/>
        <w:jc w:val="both"/>
        <w:rPr>
          <w:rFonts w:ascii="Times New Roman" w:hAnsi="Times New Roman" w:cs="Times New Roman"/>
          <w:sz w:val="24"/>
          <w:szCs w:val="24"/>
        </w:rPr>
      </w:pPr>
    </w:p>
    <w:p w:rsidR="00874E2C" w:rsidRPr="00B77854" w:rsidRDefault="00874E2C" w:rsidP="00B77854">
      <w:pPr>
        <w:spacing w:line="480" w:lineRule="auto"/>
        <w:jc w:val="both"/>
        <w:rPr>
          <w:rFonts w:ascii="Times New Roman" w:hAnsi="Times New Roman" w:cs="Times New Roman"/>
          <w:sz w:val="24"/>
          <w:szCs w:val="24"/>
        </w:rPr>
      </w:pPr>
    </w:p>
    <w:p w:rsidR="00874E2C" w:rsidRPr="00B77854" w:rsidRDefault="00874E2C" w:rsidP="00B77854">
      <w:pPr>
        <w:spacing w:line="480" w:lineRule="auto"/>
        <w:jc w:val="both"/>
        <w:rPr>
          <w:rFonts w:ascii="Times New Roman" w:hAnsi="Times New Roman" w:cs="Times New Roman"/>
          <w:sz w:val="24"/>
          <w:szCs w:val="24"/>
        </w:rPr>
      </w:pPr>
    </w:p>
    <w:p w:rsidR="00874E2C" w:rsidRPr="00B77854" w:rsidRDefault="00874E2C" w:rsidP="00B77854">
      <w:pPr>
        <w:spacing w:line="480" w:lineRule="auto"/>
        <w:jc w:val="both"/>
        <w:rPr>
          <w:rFonts w:ascii="Times New Roman" w:hAnsi="Times New Roman" w:cs="Times New Roman"/>
          <w:sz w:val="24"/>
          <w:szCs w:val="24"/>
        </w:rPr>
      </w:pPr>
    </w:p>
    <w:p w:rsidR="00874E2C" w:rsidRPr="00B77854" w:rsidRDefault="00874E2C" w:rsidP="00B77854">
      <w:pPr>
        <w:spacing w:line="480" w:lineRule="auto"/>
        <w:jc w:val="both"/>
        <w:rPr>
          <w:rFonts w:ascii="Times New Roman" w:hAnsi="Times New Roman" w:cs="Times New Roman"/>
          <w:sz w:val="24"/>
          <w:szCs w:val="24"/>
        </w:rPr>
      </w:pPr>
    </w:p>
    <w:p w:rsidR="00874E2C" w:rsidRPr="00B77854" w:rsidRDefault="00874E2C" w:rsidP="00B77854">
      <w:pPr>
        <w:spacing w:line="480" w:lineRule="auto"/>
        <w:jc w:val="center"/>
        <w:rPr>
          <w:rFonts w:ascii="Times New Roman" w:hAnsi="Times New Roman" w:cs="Times New Roman"/>
          <w:sz w:val="24"/>
          <w:szCs w:val="24"/>
        </w:rPr>
      </w:pPr>
      <w:r w:rsidRPr="00B77854">
        <w:rPr>
          <w:rFonts w:ascii="Times New Roman" w:hAnsi="Times New Roman" w:cs="Times New Roman"/>
          <w:sz w:val="24"/>
          <w:szCs w:val="24"/>
        </w:rPr>
        <w:t>ExxonMobil Corporation</w:t>
      </w:r>
      <w:r w:rsidR="004B780C" w:rsidRPr="00B77854">
        <w:rPr>
          <w:rFonts w:ascii="Times New Roman" w:hAnsi="Times New Roman" w:cs="Times New Roman"/>
          <w:sz w:val="24"/>
          <w:szCs w:val="24"/>
        </w:rPr>
        <w:t>’s Financial Analysis</w:t>
      </w:r>
    </w:p>
    <w:p w:rsidR="004B780C" w:rsidRPr="00B77854" w:rsidRDefault="00CE45C0" w:rsidP="00B77854">
      <w:pPr>
        <w:spacing w:line="480" w:lineRule="auto"/>
        <w:jc w:val="center"/>
        <w:rPr>
          <w:rFonts w:ascii="Times New Roman" w:hAnsi="Times New Roman" w:cs="Times New Roman"/>
          <w:sz w:val="24"/>
          <w:szCs w:val="24"/>
        </w:rPr>
      </w:pPr>
      <w:r w:rsidRPr="00B77854">
        <w:rPr>
          <w:rFonts w:ascii="Times New Roman" w:hAnsi="Times New Roman" w:cs="Times New Roman"/>
          <w:sz w:val="24"/>
          <w:szCs w:val="24"/>
        </w:rPr>
        <w:t>Institution</w:t>
      </w:r>
    </w:p>
    <w:p w:rsidR="00CE45C0" w:rsidRPr="00B77854" w:rsidRDefault="00CE45C0" w:rsidP="00B77854">
      <w:pPr>
        <w:spacing w:line="480" w:lineRule="auto"/>
        <w:jc w:val="center"/>
        <w:rPr>
          <w:rFonts w:ascii="Times New Roman" w:hAnsi="Times New Roman" w:cs="Times New Roman"/>
          <w:sz w:val="24"/>
          <w:szCs w:val="24"/>
        </w:rPr>
      </w:pPr>
      <w:r w:rsidRPr="00B77854">
        <w:rPr>
          <w:rFonts w:ascii="Times New Roman" w:hAnsi="Times New Roman" w:cs="Times New Roman"/>
          <w:sz w:val="24"/>
          <w:szCs w:val="24"/>
        </w:rPr>
        <w:t>Name</w:t>
      </w:r>
    </w:p>
    <w:p w:rsidR="00CE45C0" w:rsidRPr="00B77854" w:rsidRDefault="00CE45C0" w:rsidP="00B77854">
      <w:pPr>
        <w:spacing w:line="480" w:lineRule="auto"/>
        <w:jc w:val="center"/>
        <w:rPr>
          <w:rFonts w:ascii="Times New Roman" w:hAnsi="Times New Roman" w:cs="Times New Roman"/>
          <w:sz w:val="24"/>
          <w:szCs w:val="24"/>
        </w:rPr>
      </w:pPr>
      <w:r w:rsidRPr="00B77854">
        <w:rPr>
          <w:rFonts w:ascii="Times New Roman" w:hAnsi="Times New Roman" w:cs="Times New Roman"/>
          <w:sz w:val="24"/>
          <w:szCs w:val="24"/>
        </w:rPr>
        <w:t>Course</w:t>
      </w:r>
    </w:p>
    <w:p w:rsidR="00CE45C0" w:rsidRPr="00B77854" w:rsidRDefault="00CE45C0" w:rsidP="00B77854">
      <w:pPr>
        <w:spacing w:line="480" w:lineRule="auto"/>
        <w:jc w:val="center"/>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1650F" w:rsidRDefault="00B1650F" w:rsidP="00B77854">
      <w:pPr>
        <w:spacing w:line="480" w:lineRule="auto"/>
        <w:jc w:val="both"/>
        <w:rPr>
          <w:rFonts w:ascii="Times New Roman" w:hAnsi="Times New Roman" w:cs="Times New Roman"/>
          <w:sz w:val="24"/>
          <w:szCs w:val="24"/>
        </w:rPr>
      </w:pPr>
    </w:p>
    <w:p w:rsidR="00B923D8" w:rsidRPr="00B923D8" w:rsidRDefault="00B923D8" w:rsidP="00221586">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lastRenderedPageBreak/>
        <w:t xml:space="preserve">Exxon Mobil Corporation carries out business as ExxonMobil, and it is an American multinational gas and oil corporation with its headquarters sitting in Irving, Texas. ExxonMobil was formed by the merger of Exxon and Mobil. ExxonMobil has since 1996 to 2017, varied from the first to the sixth largest publicly traded company by market capitalization. </w:t>
      </w:r>
    </w:p>
    <w:p w:rsidR="00B923D8" w:rsidRPr="00B923D8" w:rsidRDefault="00B923D8" w:rsidP="00F55660">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Financial analysis refers to the process of identifying the financial strengths and weaknesses of a company by creating the relationship between the different financial variables of the financial statements. The different types of ratios are liquidity ratios, debt or financial leverage ratios, coverage or market ratios, activity ratios and profitability ratios. </w:t>
      </w:r>
    </w:p>
    <w:p w:rsidR="00B923D8" w:rsidRPr="00F55660" w:rsidRDefault="00B923D8" w:rsidP="00F55660">
      <w:pPr>
        <w:spacing w:line="480" w:lineRule="auto"/>
        <w:jc w:val="center"/>
        <w:rPr>
          <w:rFonts w:ascii="Times New Roman" w:hAnsi="Times New Roman" w:cs="Times New Roman"/>
          <w:b/>
          <w:sz w:val="24"/>
          <w:szCs w:val="24"/>
        </w:rPr>
      </w:pPr>
      <w:r w:rsidRPr="00F55660">
        <w:rPr>
          <w:rFonts w:ascii="Times New Roman" w:hAnsi="Times New Roman" w:cs="Times New Roman"/>
          <w:b/>
          <w:sz w:val="24"/>
          <w:szCs w:val="24"/>
        </w:rPr>
        <w:t>Liquidity Ratios</w:t>
      </w:r>
    </w:p>
    <w:p w:rsidR="00B923D8" w:rsidRPr="00B923D8" w:rsidRDefault="00B923D8" w:rsidP="00DE0419">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Liquidity ratios measure the corporation's ability to meet current financial obligations when they fall due; they assess the liquidity positions of a company.  Liquidity ratios include current ratio, quick ratio, cash ratio and the net working capital ratio (Weygandt, 2005). </w:t>
      </w:r>
    </w:p>
    <w:p w:rsidR="00B923D8" w:rsidRPr="00DE0419" w:rsidRDefault="00B923D8" w:rsidP="00DE0419">
      <w:pPr>
        <w:spacing w:line="480" w:lineRule="auto"/>
        <w:ind w:firstLine="720"/>
        <w:jc w:val="both"/>
        <w:rPr>
          <w:rFonts w:ascii="Times New Roman" w:hAnsi="Times New Roman" w:cs="Times New Roman"/>
          <w:b/>
          <w:i/>
          <w:sz w:val="24"/>
          <w:szCs w:val="24"/>
        </w:rPr>
      </w:pPr>
      <w:r w:rsidRPr="00DE0419">
        <w:rPr>
          <w:rFonts w:ascii="Times New Roman" w:hAnsi="Times New Roman" w:cs="Times New Roman"/>
          <w:b/>
          <w:i/>
          <w:sz w:val="24"/>
          <w:szCs w:val="24"/>
        </w:rPr>
        <w:t>Current Ratio</w:t>
      </w:r>
    </w:p>
    <w:p w:rsidR="00B923D8" w:rsidRPr="00B923D8" w:rsidRDefault="00B923D8" w:rsidP="00147BAC">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Current ratio= current assets/current liabilities</w:t>
      </w:r>
    </w:p>
    <w:p w:rsidR="00B923D8" w:rsidRPr="00B923D8" w:rsidRDefault="00B923D8" w:rsidP="000F3985">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It shows the availability of current assets in dollars for every one dollar of current liability. The following are the current ratio values as at December 31st of 2015 to 2017; 0.79, 0.87 and 0.82 respectively (NYSE,  2018).</w:t>
      </w:r>
    </w:p>
    <w:p w:rsidR="00B923D8" w:rsidRPr="00B923D8" w:rsidRDefault="00B923D8" w:rsidP="00CE3B62">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The ExxonMobil's current ratio improved from 2015 to 2016 and then decreased slightly from 2016 to 2017. However, it did not reach the value at which it was in 2015.</w:t>
      </w:r>
    </w:p>
    <w:p w:rsidR="00B923D8" w:rsidRPr="00B923D8" w:rsidRDefault="00B923D8" w:rsidP="00CE3B62">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lastRenderedPageBreak/>
        <w:t>The current ratio for the competitors such as Chevron Corporation for the same years are 1.34, 0.93 and 1.03 and those of ConocoPhillips are 0.95, 1.25 and 1.76 respectively. Those of the sector from 2015 to 2017 are 1.05, 1.00 and 1.03 respectively.</w:t>
      </w:r>
    </w:p>
    <w:p w:rsidR="00B923D8" w:rsidRPr="00CE3B62" w:rsidRDefault="00B923D8" w:rsidP="00CE3B62">
      <w:pPr>
        <w:spacing w:line="480" w:lineRule="auto"/>
        <w:ind w:firstLine="720"/>
        <w:jc w:val="both"/>
        <w:rPr>
          <w:rFonts w:ascii="Times New Roman" w:hAnsi="Times New Roman" w:cs="Times New Roman"/>
          <w:b/>
          <w:i/>
          <w:sz w:val="24"/>
          <w:szCs w:val="24"/>
        </w:rPr>
      </w:pPr>
      <w:r w:rsidRPr="00CE3B62">
        <w:rPr>
          <w:rFonts w:ascii="Times New Roman" w:hAnsi="Times New Roman" w:cs="Times New Roman"/>
          <w:b/>
          <w:i/>
          <w:sz w:val="24"/>
          <w:szCs w:val="24"/>
        </w:rPr>
        <w:t>Quick Ratio</w:t>
      </w:r>
    </w:p>
    <w:p w:rsidR="00B923D8" w:rsidRPr="00B923D8" w:rsidRDefault="00B923D8" w:rsidP="00CE3B62">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Quick ratio= (current assets-inventory)/current liabilities</w:t>
      </w:r>
    </w:p>
    <w:p w:rsidR="00B923D8" w:rsidRPr="00B923D8" w:rsidRDefault="00B923D8" w:rsidP="00CE3B62">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The quick ratio indicates the corporation's ability to meet current liabilities with the most liquid asset. The quick ratio values for 2015 to 2017 are 0.44, 0.53 and 0.50 (NYSE, 2018).</w:t>
      </w:r>
      <w:r w:rsidR="00CE3B62">
        <w:rPr>
          <w:rFonts w:ascii="Times New Roman" w:hAnsi="Times New Roman" w:cs="Times New Roman"/>
          <w:sz w:val="24"/>
          <w:szCs w:val="24"/>
        </w:rPr>
        <w:t xml:space="preserve"> </w:t>
      </w:r>
      <w:r w:rsidRPr="00B923D8">
        <w:rPr>
          <w:rFonts w:ascii="Times New Roman" w:hAnsi="Times New Roman" w:cs="Times New Roman"/>
          <w:sz w:val="24"/>
          <w:szCs w:val="24"/>
        </w:rPr>
        <w:t xml:space="preserve">ExxonMobil's quick ratio improved from 2015 to 2016 but then went down slightly from 2016 to 2017. </w:t>
      </w:r>
    </w:p>
    <w:p w:rsidR="00B923D8" w:rsidRPr="00B923D8" w:rsidRDefault="00B923D8" w:rsidP="00CE3B62">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The quick ratio values for its competitors such as Chevron Corporation from 2015 to 2017 are 0.91, 0.66, 0.73 and that of ConocoPhillips are 0.74, 1.02 and 1.53 respectively. The quick ration values for the sector from 2015 to 2017 are 0.68, 0.68 and 0.71.</w:t>
      </w:r>
    </w:p>
    <w:p w:rsidR="00B923D8" w:rsidRPr="00D9264E" w:rsidRDefault="00B923D8" w:rsidP="00D9264E">
      <w:pPr>
        <w:spacing w:line="480" w:lineRule="auto"/>
        <w:ind w:firstLine="720"/>
        <w:jc w:val="both"/>
        <w:rPr>
          <w:rFonts w:ascii="Times New Roman" w:hAnsi="Times New Roman" w:cs="Times New Roman"/>
          <w:b/>
          <w:i/>
          <w:sz w:val="24"/>
          <w:szCs w:val="24"/>
        </w:rPr>
      </w:pPr>
      <w:r w:rsidRPr="00D9264E">
        <w:rPr>
          <w:rFonts w:ascii="Times New Roman" w:hAnsi="Times New Roman" w:cs="Times New Roman"/>
          <w:b/>
          <w:i/>
          <w:sz w:val="24"/>
          <w:szCs w:val="24"/>
        </w:rPr>
        <w:t>Cash Ratio</w:t>
      </w:r>
    </w:p>
    <w:p w:rsidR="00B923D8" w:rsidRPr="00B923D8" w:rsidRDefault="00B923D8" w:rsidP="00D9264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Cash ratio= (cash+ marketable securities)/current liabilities*100</w:t>
      </w:r>
    </w:p>
    <w:p w:rsidR="00B923D8" w:rsidRPr="00B923D8" w:rsidRDefault="00B923D8" w:rsidP="00D9264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Cash is the most liquid asset, and its equivalent may be compared with current liabilities. The cash ratios for 2015 to 2017 are 0.07, 0.08 and 0.05. ExxonMobil Corporation's cash ratio improved from 2015 to 2016 and then decreased significantly from 2016 to 2017. </w:t>
      </w:r>
    </w:p>
    <w:p w:rsidR="00B923D8" w:rsidRPr="00B923D8" w:rsidRDefault="00B923D8" w:rsidP="00D9264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Cash ratios for its competitors such as Chevron Corporation from 2015 to 2017 are 0.43, 0.22 and 0.17 and those of ConocoPhillips are 0.26, 0.53 and 1.07.  Cash ratio for the energy sector for the years 2015, 2016 and 2017 are 0.24, 0.20 and 0.21 respectively (NYSE, 2018). </w:t>
      </w:r>
    </w:p>
    <w:p w:rsidR="00B923D8" w:rsidRPr="00AF41FB" w:rsidRDefault="00B923D8" w:rsidP="00AF41FB">
      <w:pPr>
        <w:spacing w:line="480" w:lineRule="auto"/>
        <w:jc w:val="center"/>
        <w:rPr>
          <w:rFonts w:ascii="Times New Roman" w:hAnsi="Times New Roman" w:cs="Times New Roman"/>
          <w:b/>
          <w:sz w:val="24"/>
          <w:szCs w:val="24"/>
        </w:rPr>
      </w:pPr>
      <w:r w:rsidRPr="00AF41FB">
        <w:rPr>
          <w:rFonts w:ascii="Times New Roman" w:hAnsi="Times New Roman" w:cs="Times New Roman"/>
          <w:b/>
          <w:sz w:val="24"/>
          <w:szCs w:val="24"/>
        </w:rPr>
        <w:lastRenderedPageBreak/>
        <w:t>Leverage Ratio</w:t>
      </w:r>
    </w:p>
    <w:p w:rsidR="00B923D8" w:rsidRPr="00B923D8" w:rsidRDefault="00B923D8" w:rsidP="00AF41FB">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These are ratios that are used to indicate the extent to which the firm is financed by debt. On this part, debt to equity ratio is the only ratio that is going to be discussed. Debt to equity ratio shows the contribution by creditors for each dollar of the owner's contribution. The lower the ratio, the higher the level of the corporation's financing that is being provided by the shareholders. </w:t>
      </w:r>
    </w:p>
    <w:p w:rsidR="00B923D8" w:rsidRPr="00B923D8" w:rsidRDefault="00B923D8" w:rsidP="00AF41FB">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Debt to equity= notes, loans payable and a long-term debt/ Total ExxonMobil share of equity. The values of the debt to equity ratios for the 2015 to 2017 years are 0.23, 0.26, and 0.23. This shows that both 2015 and 2017 the company did not borrow so much like in 2016.</w:t>
      </w:r>
    </w:p>
    <w:p w:rsidR="00B923D8" w:rsidRPr="00B923D8" w:rsidRDefault="00B923D8" w:rsidP="00AF41FB">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The ratios for ExxonMobil's competitors for 2015 to 2017 for Chevron Corp. are 0.25, 0.32, 0.26 and those of ConocoPhillips are 0.63, 0.78, and 0.64 (NYSE, 2018).  This illustrates that the company that is borrowed much is ConocoPhillips. </w:t>
      </w:r>
    </w:p>
    <w:p w:rsidR="00B923D8" w:rsidRPr="00AF41FB" w:rsidRDefault="00B923D8" w:rsidP="00AF41FB">
      <w:pPr>
        <w:spacing w:line="480" w:lineRule="auto"/>
        <w:jc w:val="center"/>
        <w:rPr>
          <w:rFonts w:ascii="Times New Roman" w:hAnsi="Times New Roman" w:cs="Times New Roman"/>
          <w:b/>
          <w:sz w:val="24"/>
          <w:szCs w:val="24"/>
        </w:rPr>
      </w:pPr>
      <w:r w:rsidRPr="00AF41FB">
        <w:rPr>
          <w:rFonts w:ascii="Times New Roman" w:hAnsi="Times New Roman" w:cs="Times New Roman"/>
          <w:b/>
          <w:sz w:val="24"/>
          <w:szCs w:val="24"/>
        </w:rPr>
        <w:t>Profitability Ratios</w:t>
      </w:r>
    </w:p>
    <w:p w:rsidR="00B923D8" w:rsidRPr="00B923D8" w:rsidRDefault="00B923D8" w:rsidP="00AF41FB">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The profitability ratios show the operating efficiency of a firm. Net profit margin ratio is the only ratio that is going to be dealt with here. It measures ExxonMobil's profitability of sales after taking into account all expenses and income taxes.</w:t>
      </w:r>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 xml:space="preserve">Net Profit margin= (Profit after tax)/ sales*100 </w:t>
      </w:r>
    </w:p>
    <w:p w:rsidR="00B923D8" w:rsidRPr="00B923D8" w:rsidRDefault="00B923D8" w:rsidP="00FD38C7">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ExxonMobil's net profit margin decreased from 2015 to 2016 but then increased from 2016 to 2017. However, although it improved the value did not exceed that of 2015.</w:t>
      </w:r>
    </w:p>
    <w:p w:rsidR="00B923D8" w:rsidRPr="00FD38C7" w:rsidRDefault="00B923D8" w:rsidP="00FD38C7">
      <w:pPr>
        <w:spacing w:line="480" w:lineRule="auto"/>
        <w:jc w:val="center"/>
        <w:rPr>
          <w:rFonts w:ascii="Times New Roman" w:hAnsi="Times New Roman" w:cs="Times New Roman"/>
          <w:b/>
          <w:sz w:val="24"/>
          <w:szCs w:val="24"/>
        </w:rPr>
      </w:pPr>
      <w:r w:rsidRPr="00FD38C7">
        <w:rPr>
          <w:rFonts w:ascii="Times New Roman" w:hAnsi="Times New Roman" w:cs="Times New Roman"/>
          <w:b/>
          <w:sz w:val="24"/>
          <w:szCs w:val="24"/>
        </w:rPr>
        <w:t>Activity Ratios</w:t>
      </w:r>
    </w:p>
    <w:p w:rsidR="00B923D8" w:rsidRPr="00B923D8" w:rsidRDefault="00B923D8" w:rsidP="00FD38C7">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lastRenderedPageBreak/>
        <w:t xml:space="preserve">There are ratios that are used to measure the effectiveness of a company in using its assets. They show the speed or rate at which assets are being turned into sales. </w:t>
      </w:r>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Inventory turnover ratio= (cost of goods sold/ average inventory)</w:t>
      </w:r>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Average inventory= (beginning inventory+ closing inventory)/2</w:t>
      </w:r>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This ratio gives the number of times that the inventory of financial goods has been turned into sales.</w:t>
      </w:r>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ExxonMobil's inventory turnover decreased from 2015 to 2016 and then slightly increased from 2016 to 2017 (NYSE, 2018).</w:t>
      </w:r>
    </w:p>
    <w:p w:rsidR="00B923D8" w:rsidRPr="00243B6F" w:rsidRDefault="00B923D8" w:rsidP="00243B6F">
      <w:pPr>
        <w:spacing w:line="480" w:lineRule="auto"/>
        <w:ind w:firstLine="720"/>
        <w:jc w:val="center"/>
        <w:rPr>
          <w:rFonts w:ascii="Times New Roman" w:hAnsi="Times New Roman" w:cs="Times New Roman"/>
          <w:b/>
          <w:sz w:val="24"/>
          <w:szCs w:val="24"/>
        </w:rPr>
      </w:pPr>
      <w:r w:rsidRPr="00243B6F">
        <w:rPr>
          <w:rFonts w:ascii="Times New Roman" w:hAnsi="Times New Roman" w:cs="Times New Roman"/>
          <w:b/>
          <w:sz w:val="24"/>
          <w:szCs w:val="24"/>
        </w:rPr>
        <w:t>Human Capital Strategy Analysis</w:t>
      </w:r>
    </w:p>
    <w:p w:rsidR="00B923D8" w:rsidRPr="00B923D8" w:rsidRDefault="00B923D8" w:rsidP="00243B6F">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Human capital strategy refers to the determination of the right mix of human capital for the short-run and projected needs of the firm based on workforce planning data and talent management systems.  These strategies acknowledge that the workers, their experience, skills, concepts, innovative ideas and knowledge are all value within ExxonMobil Corporation (Inkpen, 2011). </w:t>
      </w:r>
    </w:p>
    <w:p w:rsidR="00B923D8" w:rsidRPr="00DF585E" w:rsidRDefault="00B923D8" w:rsidP="00DF585E">
      <w:pPr>
        <w:spacing w:line="480" w:lineRule="auto"/>
        <w:ind w:firstLine="720"/>
        <w:jc w:val="both"/>
        <w:rPr>
          <w:rFonts w:ascii="Times New Roman" w:hAnsi="Times New Roman" w:cs="Times New Roman"/>
          <w:b/>
          <w:i/>
          <w:sz w:val="24"/>
          <w:szCs w:val="24"/>
        </w:rPr>
      </w:pPr>
      <w:r w:rsidRPr="00DF585E">
        <w:rPr>
          <w:rFonts w:ascii="Times New Roman" w:hAnsi="Times New Roman" w:cs="Times New Roman"/>
          <w:b/>
          <w:i/>
          <w:sz w:val="24"/>
          <w:szCs w:val="24"/>
        </w:rPr>
        <w:t>Human Resources Strategy</w:t>
      </w:r>
    </w:p>
    <w:p w:rsidR="00B923D8" w:rsidRPr="00B923D8" w:rsidRDefault="00B923D8" w:rsidP="00DF585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ExxonMobil is a multinational company with immense business interests and hence has many business variables that directly stand on its way to greater growth. The company has a strict staffing policy throughout all its operational divisions. It, therefore, attracts only the most talented employees in the market (Coll, 2012). Thus, this gives ExxonMobil an edge against the competition within the industry within which it operates. When the two giant energy companies </w:t>
      </w:r>
      <w:r w:rsidRPr="00B923D8">
        <w:rPr>
          <w:rFonts w:ascii="Times New Roman" w:hAnsi="Times New Roman" w:cs="Times New Roman"/>
          <w:sz w:val="24"/>
          <w:szCs w:val="24"/>
        </w:rPr>
        <w:lastRenderedPageBreak/>
        <w:t>merged, they expanded reach in markets, the global playing field regarding resources and a harmonized pool of human resources.</w:t>
      </w:r>
    </w:p>
    <w:p w:rsidR="00B923D8" w:rsidRPr="00DF585E" w:rsidRDefault="00B923D8" w:rsidP="00DF585E">
      <w:pPr>
        <w:spacing w:line="480" w:lineRule="auto"/>
        <w:ind w:firstLine="720"/>
        <w:jc w:val="both"/>
        <w:rPr>
          <w:rFonts w:ascii="Times New Roman" w:hAnsi="Times New Roman" w:cs="Times New Roman"/>
          <w:b/>
          <w:i/>
          <w:sz w:val="24"/>
          <w:szCs w:val="24"/>
        </w:rPr>
      </w:pPr>
      <w:r w:rsidRPr="00DF585E">
        <w:rPr>
          <w:rFonts w:ascii="Times New Roman" w:hAnsi="Times New Roman" w:cs="Times New Roman"/>
          <w:b/>
          <w:i/>
          <w:sz w:val="24"/>
          <w:szCs w:val="24"/>
        </w:rPr>
        <w:t>Business Strategy</w:t>
      </w:r>
    </w:p>
    <w:p w:rsidR="00B923D8" w:rsidRPr="00B923D8" w:rsidRDefault="00B923D8" w:rsidP="00DF585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 xml:space="preserve">ExxonMobil has been working towards achieving its vision while prioritizing its objectives, competing successfully and optimizing its financial performance by following its business model. ExxonMobil Corp. employs a business strategy that is focused on achieving excellence in the firm's operations, generating superior cash flow and long-term shareholder value (Inkpen, 2011). Due to the company's consistent application of such business strategy, the company has possessed an upper hand that makes the company have strong results today and places it well for the decades to come. </w:t>
      </w:r>
    </w:p>
    <w:p w:rsidR="00B923D8" w:rsidRPr="00DF585E" w:rsidRDefault="00B923D8" w:rsidP="00DF585E">
      <w:pPr>
        <w:spacing w:line="480" w:lineRule="auto"/>
        <w:ind w:firstLine="720"/>
        <w:jc w:val="both"/>
        <w:rPr>
          <w:rFonts w:ascii="Times New Roman" w:hAnsi="Times New Roman" w:cs="Times New Roman"/>
          <w:b/>
          <w:i/>
          <w:sz w:val="24"/>
          <w:szCs w:val="24"/>
        </w:rPr>
      </w:pPr>
      <w:r w:rsidRPr="00DF585E">
        <w:rPr>
          <w:rFonts w:ascii="Times New Roman" w:hAnsi="Times New Roman" w:cs="Times New Roman"/>
          <w:b/>
          <w:i/>
          <w:sz w:val="24"/>
          <w:szCs w:val="24"/>
        </w:rPr>
        <w:t>Financial Strategy</w:t>
      </w:r>
    </w:p>
    <w:p w:rsidR="00B923D8" w:rsidRPr="00B923D8" w:rsidRDefault="00B923D8" w:rsidP="00DF585E">
      <w:pPr>
        <w:spacing w:line="480" w:lineRule="auto"/>
        <w:ind w:firstLine="720"/>
        <w:jc w:val="both"/>
        <w:rPr>
          <w:rFonts w:ascii="Times New Roman" w:hAnsi="Times New Roman" w:cs="Times New Roman"/>
          <w:sz w:val="24"/>
          <w:szCs w:val="24"/>
        </w:rPr>
      </w:pPr>
      <w:r w:rsidRPr="00B923D8">
        <w:rPr>
          <w:rFonts w:ascii="Times New Roman" w:hAnsi="Times New Roman" w:cs="Times New Roman"/>
          <w:sz w:val="24"/>
          <w:szCs w:val="24"/>
        </w:rPr>
        <w:t>ExxonMobil's financial strength and industry-leading performance have continued to give its shareholders with superior value compared to the competitors in the energy industry.  Despite the volatile economic times, the corporation has remained committed to investing in the integrated solutions to the energy challenge (Coll, 2012). The corporation's consistence regarding performance has hence enabled the company to invest through the economic cycle and developed new energy supplies.</w:t>
      </w:r>
    </w:p>
    <w:p w:rsidR="00B923D8" w:rsidRDefault="00B923D8" w:rsidP="00287C75">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Given the direction of your company, what questions should the HR function be asking?</w:t>
      </w:r>
    </w:p>
    <w:p w:rsidR="00287C75" w:rsidRPr="00B923D8" w:rsidRDefault="00287C75" w:rsidP="00287C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are the </w:t>
      </w:r>
      <w:r w:rsidR="00C72160">
        <w:rPr>
          <w:rFonts w:ascii="Times New Roman" w:hAnsi="Times New Roman" w:cs="Times New Roman"/>
          <w:sz w:val="24"/>
          <w:szCs w:val="24"/>
        </w:rPr>
        <w:t>activities that could increase the efficiency within the ExxonMobil’s function?</w:t>
      </w:r>
      <w:bookmarkStart w:id="0" w:name="_GoBack"/>
      <w:bookmarkEnd w:id="0"/>
    </w:p>
    <w:p w:rsidR="00B923D8" w:rsidRPr="00B923D8" w:rsidRDefault="00B923D8" w:rsidP="00B923D8">
      <w:pPr>
        <w:spacing w:line="480" w:lineRule="auto"/>
        <w:jc w:val="both"/>
        <w:rPr>
          <w:rFonts w:ascii="Times New Roman" w:hAnsi="Times New Roman" w:cs="Times New Roman"/>
          <w:sz w:val="24"/>
          <w:szCs w:val="24"/>
        </w:rPr>
      </w:pPr>
      <w:r w:rsidRPr="00B923D8">
        <w:rPr>
          <w:rFonts w:ascii="Times New Roman" w:hAnsi="Times New Roman" w:cs="Times New Roman"/>
          <w:sz w:val="24"/>
          <w:szCs w:val="24"/>
        </w:rPr>
        <w:t>What HR Strategy recommendations, proposals, or projects should HR leaders consider maintaining the competitive advantage of the company?</w:t>
      </w:r>
    </w:p>
    <w:p w:rsidR="00B923D8" w:rsidRPr="00DF585E" w:rsidRDefault="00B923D8" w:rsidP="00DF585E">
      <w:pPr>
        <w:pStyle w:val="ListParagraph"/>
        <w:numPr>
          <w:ilvl w:val="0"/>
          <w:numId w:val="1"/>
        </w:numPr>
        <w:spacing w:line="480" w:lineRule="auto"/>
        <w:jc w:val="both"/>
        <w:rPr>
          <w:rFonts w:ascii="Times New Roman" w:hAnsi="Times New Roman" w:cs="Times New Roman"/>
          <w:sz w:val="24"/>
          <w:szCs w:val="24"/>
        </w:rPr>
      </w:pPr>
      <w:r w:rsidRPr="00DF585E">
        <w:rPr>
          <w:rFonts w:ascii="Times New Roman" w:hAnsi="Times New Roman" w:cs="Times New Roman"/>
          <w:sz w:val="24"/>
          <w:szCs w:val="24"/>
        </w:rPr>
        <w:lastRenderedPageBreak/>
        <w:t>The Corp. ought to invest in staff training to improve performance.</w:t>
      </w:r>
    </w:p>
    <w:p w:rsidR="00B923D8" w:rsidRPr="00DF585E" w:rsidRDefault="00B923D8" w:rsidP="00DF585E">
      <w:pPr>
        <w:pStyle w:val="ListParagraph"/>
        <w:numPr>
          <w:ilvl w:val="0"/>
          <w:numId w:val="1"/>
        </w:numPr>
        <w:spacing w:line="480" w:lineRule="auto"/>
        <w:jc w:val="both"/>
        <w:rPr>
          <w:rFonts w:ascii="Times New Roman" w:hAnsi="Times New Roman" w:cs="Times New Roman"/>
          <w:sz w:val="24"/>
          <w:szCs w:val="24"/>
        </w:rPr>
      </w:pPr>
      <w:r w:rsidRPr="00DF585E">
        <w:rPr>
          <w:rFonts w:ascii="Times New Roman" w:hAnsi="Times New Roman" w:cs="Times New Roman"/>
          <w:sz w:val="24"/>
          <w:szCs w:val="24"/>
        </w:rPr>
        <w:t>The company should continue investing in research and development to decrease the costs that are incurred in its operations and also to raise the efficiency (Albrecht, 2011).</w:t>
      </w:r>
    </w:p>
    <w:p w:rsidR="00B923D8" w:rsidRPr="00DF585E" w:rsidRDefault="00B923D8" w:rsidP="00DF585E">
      <w:pPr>
        <w:pStyle w:val="ListParagraph"/>
        <w:numPr>
          <w:ilvl w:val="0"/>
          <w:numId w:val="1"/>
        </w:numPr>
        <w:spacing w:line="480" w:lineRule="auto"/>
        <w:jc w:val="both"/>
        <w:rPr>
          <w:rFonts w:ascii="Times New Roman" w:hAnsi="Times New Roman" w:cs="Times New Roman"/>
          <w:sz w:val="24"/>
          <w:szCs w:val="24"/>
        </w:rPr>
      </w:pPr>
      <w:r w:rsidRPr="00DF585E">
        <w:rPr>
          <w:rFonts w:ascii="Times New Roman" w:hAnsi="Times New Roman" w:cs="Times New Roman"/>
          <w:sz w:val="24"/>
          <w:szCs w:val="24"/>
        </w:rPr>
        <w:t>The Corp. ought to establish operations in new markets to ensure its continued growth and profitability. Besides, by entering new markets, it will also spread risks.</w:t>
      </w:r>
    </w:p>
    <w:p w:rsidR="00B923D8" w:rsidRPr="00F2368D" w:rsidRDefault="00B923D8" w:rsidP="00F2368D">
      <w:pPr>
        <w:spacing w:line="480" w:lineRule="auto"/>
        <w:ind w:firstLine="360"/>
        <w:jc w:val="both"/>
        <w:rPr>
          <w:rFonts w:ascii="Times New Roman" w:hAnsi="Times New Roman" w:cs="Times New Roman"/>
          <w:b/>
          <w:sz w:val="24"/>
          <w:szCs w:val="24"/>
        </w:rPr>
      </w:pPr>
      <w:r w:rsidRPr="00F2368D">
        <w:rPr>
          <w:rFonts w:ascii="Times New Roman" w:hAnsi="Times New Roman" w:cs="Times New Roman"/>
          <w:b/>
          <w:sz w:val="24"/>
          <w:szCs w:val="24"/>
        </w:rPr>
        <w:t>From your analysis what do you conclude about the company's past performance, positioning amongst its competitors, and prospects for growth and performance?</w:t>
      </w:r>
    </w:p>
    <w:p w:rsidR="00721383" w:rsidRDefault="00B923D8" w:rsidP="00F2368D">
      <w:pPr>
        <w:spacing w:line="480" w:lineRule="auto"/>
        <w:ind w:firstLine="360"/>
        <w:jc w:val="both"/>
        <w:rPr>
          <w:rFonts w:ascii="Times New Roman" w:hAnsi="Times New Roman" w:cs="Times New Roman"/>
          <w:sz w:val="24"/>
          <w:szCs w:val="24"/>
        </w:rPr>
      </w:pPr>
      <w:r w:rsidRPr="00B923D8">
        <w:rPr>
          <w:rFonts w:ascii="Times New Roman" w:hAnsi="Times New Roman" w:cs="Times New Roman"/>
          <w:sz w:val="24"/>
          <w:szCs w:val="24"/>
        </w:rPr>
        <w:t>In conclusion, the firm should use its financial strength as identified to establish itself in the new markets so that it can earn more profits and also spread risks. The Debt to equity ratio shows the contribution by creditors for each dollar of the owner's contribution. The lower the ratio, the higher the level of the corporation's financing that is being provided by the shareholders. Much of the finances that are used to operate the company have been provided by its shareholders and thus the company ought to reinvest as much as possible. Lastly, the company ought to invest in staff training to ensure better performance as well as research and development so that it can decrease its operational costs and increase efficiency.</w:t>
      </w:r>
    </w:p>
    <w:p w:rsidR="00721383" w:rsidRDefault="00721383" w:rsidP="00B77854">
      <w:pPr>
        <w:spacing w:line="480" w:lineRule="auto"/>
        <w:jc w:val="both"/>
        <w:rPr>
          <w:rFonts w:ascii="Times New Roman" w:hAnsi="Times New Roman" w:cs="Times New Roman"/>
          <w:sz w:val="24"/>
          <w:szCs w:val="24"/>
        </w:rPr>
      </w:pPr>
    </w:p>
    <w:p w:rsidR="00721383" w:rsidRDefault="00721383" w:rsidP="00B77854">
      <w:pPr>
        <w:spacing w:line="480" w:lineRule="auto"/>
        <w:jc w:val="both"/>
        <w:rPr>
          <w:rFonts w:ascii="Times New Roman" w:hAnsi="Times New Roman" w:cs="Times New Roman"/>
          <w:sz w:val="24"/>
          <w:szCs w:val="24"/>
        </w:rPr>
      </w:pPr>
    </w:p>
    <w:p w:rsidR="00721383" w:rsidRDefault="00721383" w:rsidP="00B77854">
      <w:pPr>
        <w:spacing w:line="480" w:lineRule="auto"/>
        <w:jc w:val="both"/>
        <w:rPr>
          <w:rFonts w:ascii="Times New Roman" w:hAnsi="Times New Roman" w:cs="Times New Roman"/>
          <w:sz w:val="24"/>
          <w:szCs w:val="24"/>
        </w:rPr>
      </w:pPr>
    </w:p>
    <w:p w:rsidR="00A65B23" w:rsidRDefault="00A65B23" w:rsidP="00BB2BCA">
      <w:pPr>
        <w:spacing w:line="480" w:lineRule="auto"/>
        <w:jc w:val="center"/>
        <w:rPr>
          <w:rFonts w:ascii="Times New Roman" w:hAnsi="Times New Roman" w:cs="Times New Roman"/>
          <w:sz w:val="24"/>
          <w:szCs w:val="24"/>
        </w:rPr>
      </w:pPr>
    </w:p>
    <w:p w:rsidR="00A65B23" w:rsidRDefault="00A65B23" w:rsidP="00BB2BCA">
      <w:pPr>
        <w:spacing w:line="480" w:lineRule="auto"/>
        <w:jc w:val="center"/>
        <w:rPr>
          <w:rFonts w:ascii="Times New Roman" w:hAnsi="Times New Roman" w:cs="Times New Roman"/>
          <w:sz w:val="24"/>
          <w:szCs w:val="24"/>
        </w:rPr>
      </w:pPr>
    </w:p>
    <w:p w:rsidR="00A65B23" w:rsidRDefault="00A65B23" w:rsidP="00BB2BCA">
      <w:pPr>
        <w:spacing w:line="480" w:lineRule="auto"/>
        <w:jc w:val="center"/>
        <w:rPr>
          <w:rFonts w:ascii="Times New Roman" w:hAnsi="Times New Roman" w:cs="Times New Roman"/>
          <w:sz w:val="24"/>
          <w:szCs w:val="24"/>
        </w:rPr>
      </w:pPr>
    </w:p>
    <w:p w:rsidR="001F240A" w:rsidRPr="00B77854" w:rsidRDefault="001F240A" w:rsidP="00BB2BCA">
      <w:pPr>
        <w:spacing w:line="480" w:lineRule="auto"/>
        <w:jc w:val="center"/>
        <w:rPr>
          <w:rFonts w:ascii="Times New Roman" w:hAnsi="Times New Roman" w:cs="Times New Roman"/>
          <w:sz w:val="24"/>
          <w:szCs w:val="24"/>
        </w:rPr>
      </w:pPr>
      <w:r w:rsidRPr="00B77854">
        <w:rPr>
          <w:rFonts w:ascii="Times New Roman" w:hAnsi="Times New Roman" w:cs="Times New Roman"/>
          <w:sz w:val="24"/>
          <w:szCs w:val="24"/>
        </w:rPr>
        <w:t>References</w:t>
      </w:r>
    </w:p>
    <w:p w:rsidR="007971D1" w:rsidRPr="00B77854" w:rsidRDefault="007971D1" w:rsidP="007971D1">
      <w:pPr>
        <w:spacing w:line="480" w:lineRule="auto"/>
        <w:ind w:left="720" w:hanging="720"/>
        <w:jc w:val="both"/>
        <w:rPr>
          <w:rFonts w:ascii="Times New Roman" w:hAnsi="Times New Roman" w:cs="Times New Roman"/>
          <w:sz w:val="24"/>
          <w:szCs w:val="24"/>
        </w:rPr>
      </w:pPr>
      <w:r w:rsidRPr="00B77854">
        <w:rPr>
          <w:rFonts w:ascii="Times New Roman" w:hAnsi="Times New Roman" w:cs="Times New Roman"/>
          <w:sz w:val="24"/>
          <w:szCs w:val="24"/>
        </w:rPr>
        <w:t xml:space="preserve">Albrecht, W. S., Stice, E. K., &amp; Stice, J. D. (2011). </w:t>
      </w:r>
      <w:r w:rsidRPr="00B77854">
        <w:rPr>
          <w:rFonts w:ascii="Times New Roman" w:hAnsi="Times New Roman" w:cs="Times New Roman"/>
          <w:i/>
          <w:iCs/>
          <w:sz w:val="24"/>
          <w:szCs w:val="24"/>
        </w:rPr>
        <w:t>Financial accounting</w:t>
      </w:r>
      <w:r w:rsidRPr="00B77854">
        <w:rPr>
          <w:rFonts w:ascii="Times New Roman" w:hAnsi="Times New Roman" w:cs="Times New Roman"/>
          <w:sz w:val="24"/>
          <w:szCs w:val="24"/>
        </w:rPr>
        <w:t>. Mason, OH: South-Western/Cengage Learning.</w:t>
      </w:r>
    </w:p>
    <w:p w:rsidR="007971D1" w:rsidRDefault="007971D1" w:rsidP="007971D1">
      <w:pPr>
        <w:spacing w:line="480" w:lineRule="auto"/>
        <w:ind w:left="720" w:hanging="720"/>
        <w:jc w:val="both"/>
        <w:rPr>
          <w:rFonts w:ascii="Times New Roman" w:hAnsi="Times New Roman" w:cs="Times New Roman"/>
          <w:sz w:val="24"/>
          <w:szCs w:val="24"/>
        </w:rPr>
      </w:pPr>
      <w:r w:rsidRPr="00B77854">
        <w:rPr>
          <w:rFonts w:ascii="Times New Roman" w:hAnsi="Times New Roman" w:cs="Times New Roman"/>
          <w:sz w:val="24"/>
          <w:szCs w:val="24"/>
        </w:rPr>
        <w:t xml:space="preserve">Coll, S. (2012). </w:t>
      </w:r>
      <w:r w:rsidRPr="00B77854">
        <w:rPr>
          <w:rFonts w:ascii="Times New Roman" w:hAnsi="Times New Roman" w:cs="Times New Roman"/>
          <w:i/>
          <w:iCs/>
          <w:sz w:val="24"/>
          <w:szCs w:val="24"/>
        </w:rPr>
        <w:t>Private empire: ExxonMobil and American power</w:t>
      </w:r>
      <w:r w:rsidRPr="00B77854">
        <w:rPr>
          <w:rFonts w:ascii="Times New Roman" w:hAnsi="Times New Roman" w:cs="Times New Roman"/>
          <w:sz w:val="24"/>
          <w:szCs w:val="24"/>
        </w:rPr>
        <w:t>. New York: Penguin Press.</w:t>
      </w:r>
    </w:p>
    <w:p w:rsidR="00242DC7" w:rsidRPr="00B77854" w:rsidRDefault="00242DC7" w:rsidP="00242DC7">
      <w:pPr>
        <w:pStyle w:val="Bibliography"/>
        <w:spacing w:line="480" w:lineRule="auto"/>
        <w:ind w:left="720" w:hanging="720"/>
        <w:rPr>
          <w:rFonts w:ascii="Times New Roman" w:hAnsi="Times New Roman" w:cs="Times New Roman"/>
          <w:noProof/>
          <w:sz w:val="24"/>
          <w:szCs w:val="24"/>
        </w:rPr>
      </w:pPr>
      <w:r w:rsidRPr="00B77854">
        <w:rPr>
          <w:rFonts w:ascii="Times New Roman" w:hAnsi="Times New Roman" w:cs="Times New Roman"/>
          <w:noProof/>
          <w:sz w:val="24"/>
          <w:szCs w:val="24"/>
        </w:rPr>
        <w:t xml:space="preserve">NYSE. (2018, June Sunday). </w:t>
      </w:r>
      <w:r w:rsidRPr="00B77854">
        <w:rPr>
          <w:rFonts w:ascii="Times New Roman" w:hAnsi="Times New Roman" w:cs="Times New Roman"/>
          <w:i/>
          <w:iCs/>
          <w:noProof/>
          <w:sz w:val="24"/>
          <w:szCs w:val="24"/>
        </w:rPr>
        <w:t>Stock Analysis on Net</w:t>
      </w:r>
      <w:r w:rsidRPr="00B77854">
        <w:rPr>
          <w:rFonts w:ascii="Times New Roman" w:hAnsi="Times New Roman" w:cs="Times New Roman"/>
          <w:noProof/>
          <w:sz w:val="24"/>
          <w:szCs w:val="24"/>
        </w:rPr>
        <w:t>. Retrieved from 100. U.S. Stock Market Leaders: https://www.stock-analysis-on.net/NYSE/Company/Exxon-Mobil-Corp</w:t>
      </w:r>
    </w:p>
    <w:p w:rsidR="007971D1" w:rsidRPr="00B77854" w:rsidRDefault="007971D1" w:rsidP="00242DC7">
      <w:pPr>
        <w:spacing w:line="480" w:lineRule="auto"/>
        <w:ind w:left="720" w:hanging="720"/>
        <w:jc w:val="both"/>
        <w:rPr>
          <w:rFonts w:ascii="Times New Roman" w:hAnsi="Times New Roman" w:cs="Times New Roman"/>
          <w:sz w:val="24"/>
          <w:szCs w:val="24"/>
        </w:rPr>
      </w:pPr>
      <w:r w:rsidRPr="00B77854">
        <w:rPr>
          <w:rFonts w:ascii="Times New Roman" w:hAnsi="Times New Roman" w:cs="Times New Roman"/>
          <w:sz w:val="24"/>
          <w:szCs w:val="24"/>
        </w:rPr>
        <w:t xml:space="preserve">Inkpen, A. C., &amp; Moffett, M. H. (2011). </w:t>
      </w:r>
      <w:r w:rsidRPr="00B77854">
        <w:rPr>
          <w:rFonts w:ascii="Times New Roman" w:hAnsi="Times New Roman" w:cs="Times New Roman"/>
          <w:i/>
          <w:iCs/>
          <w:sz w:val="24"/>
          <w:szCs w:val="24"/>
        </w:rPr>
        <w:t>The global oil &amp; gas industry: Management, strategy &amp; finance</w:t>
      </w:r>
      <w:r w:rsidRPr="00B77854">
        <w:rPr>
          <w:rFonts w:ascii="Times New Roman" w:hAnsi="Times New Roman" w:cs="Times New Roman"/>
          <w:sz w:val="24"/>
          <w:szCs w:val="24"/>
        </w:rPr>
        <w:t>. Tulsa, Okla: PennWell.</w:t>
      </w:r>
    </w:p>
    <w:p w:rsidR="007971D1" w:rsidRPr="00B77854" w:rsidRDefault="007971D1" w:rsidP="007971D1">
      <w:pPr>
        <w:spacing w:line="480" w:lineRule="auto"/>
        <w:ind w:left="720" w:hanging="720"/>
        <w:jc w:val="both"/>
        <w:rPr>
          <w:rFonts w:ascii="Times New Roman" w:hAnsi="Times New Roman" w:cs="Times New Roman"/>
          <w:sz w:val="24"/>
          <w:szCs w:val="24"/>
        </w:rPr>
      </w:pPr>
      <w:r w:rsidRPr="00B77854">
        <w:rPr>
          <w:rFonts w:ascii="Times New Roman" w:hAnsi="Times New Roman" w:cs="Times New Roman"/>
          <w:sz w:val="24"/>
          <w:szCs w:val="24"/>
        </w:rPr>
        <w:t xml:space="preserve">Weygandt, J. J., Kieso, D. E., &amp; Kimmel, P. D. (2005). </w:t>
      </w:r>
      <w:r w:rsidRPr="00B77854">
        <w:rPr>
          <w:rFonts w:ascii="Times New Roman" w:hAnsi="Times New Roman" w:cs="Times New Roman"/>
          <w:i/>
          <w:iCs/>
          <w:sz w:val="24"/>
          <w:szCs w:val="24"/>
        </w:rPr>
        <w:t>Accounting principles</w:t>
      </w:r>
      <w:r w:rsidRPr="00B77854">
        <w:rPr>
          <w:rFonts w:ascii="Times New Roman" w:hAnsi="Times New Roman" w:cs="Times New Roman"/>
          <w:sz w:val="24"/>
          <w:szCs w:val="24"/>
        </w:rPr>
        <w:t>. Hoboken, NJ: J. Wiley.</w:t>
      </w:r>
    </w:p>
    <w:sdt>
      <w:sdtPr>
        <w:rPr>
          <w:rFonts w:ascii="Times New Roman" w:hAnsi="Times New Roman" w:cs="Times New Roman"/>
          <w:sz w:val="24"/>
          <w:szCs w:val="24"/>
        </w:rPr>
        <w:id w:val="-573587230"/>
        <w:bibliography/>
      </w:sdtPr>
      <w:sdtEndPr>
        <w:rPr>
          <w:rFonts w:eastAsiaTheme="minorHAnsi"/>
          <w:color w:val="auto"/>
        </w:rPr>
      </w:sdtEndPr>
      <w:sdtContent>
        <w:p w:rsidR="00DF6087" w:rsidRPr="00B77854" w:rsidRDefault="00DF6087" w:rsidP="00B77854">
          <w:pPr>
            <w:pStyle w:val="Bibliography"/>
            <w:spacing w:line="480" w:lineRule="auto"/>
            <w:ind w:left="720" w:hanging="720"/>
            <w:rPr>
              <w:rFonts w:ascii="Times New Roman" w:hAnsi="Times New Roman" w:cs="Times New Roman"/>
              <w:noProof/>
              <w:sz w:val="24"/>
              <w:szCs w:val="24"/>
            </w:rPr>
          </w:pPr>
          <w:r w:rsidRPr="00B77854">
            <w:rPr>
              <w:rFonts w:ascii="Times New Roman" w:hAnsi="Times New Roman" w:cs="Times New Roman"/>
              <w:sz w:val="24"/>
              <w:szCs w:val="24"/>
            </w:rPr>
            <w:fldChar w:fldCharType="begin"/>
          </w:r>
          <w:r w:rsidRPr="00B77854">
            <w:rPr>
              <w:rFonts w:ascii="Times New Roman" w:hAnsi="Times New Roman" w:cs="Times New Roman"/>
              <w:sz w:val="24"/>
              <w:szCs w:val="24"/>
            </w:rPr>
            <w:instrText xml:space="preserve"> BIBLIOGRAPHY </w:instrText>
          </w:r>
          <w:r w:rsidRPr="00B77854">
            <w:rPr>
              <w:rFonts w:ascii="Times New Roman" w:hAnsi="Times New Roman" w:cs="Times New Roman"/>
              <w:sz w:val="24"/>
              <w:szCs w:val="24"/>
            </w:rPr>
            <w:fldChar w:fldCharType="separate"/>
          </w:r>
        </w:p>
        <w:p w:rsidR="00DF6087" w:rsidRPr="00B77854" w:rsidRDefault="00DF6087" w:rsidP="00B77854">
          <w:pPr>
            <w:spacing w:line="480" w:lineRule="auto"/>
            <w:rPr>
              <w:rFonts w:ascii="Times New Roman" w:hAnsi="Times New Roman" w:cs="Times New Roman"/>
              <w:sz w:val="24"/>
              <w:szCs w:val="24"/>
            </w:rPr>
          </w:pPr>
          <w:r w:rsidRPr="00B77854">
            <w:rPr>
              <w:rFonts w:ascii="Times New Roman" w:hAnsi="Times New Roman" w:cs="Times New Roman"/>
              <w:b/>
              <w:bCs/>
              <w:noProof/>
              <w:sz w:val="24"/>
              <w:szCs w:val="24"/>
            </w:rPr>
            <w:fldChar w:fldCharType="end"/>
          </w:r>
        </w:p>
      </w:sdtContent>
    </w:sdt>
    <w:p w:rsidR="00B97831" w:rsidRPr="00B77854" w:rsidRDefault="00B97831" w:rsidP="00B77854">
      <w:pPr>
        <w:spacing w:line="480" w:lineRule="auto"/>
        <w:jc w:val="both"/>
        <w:rPr>
          <w:rFonts w:ascii="Times New Roman" w:hAnsi="Times New Roman" w:cs="Times New Roman"/>
          <w:color w:val="000000"/>
          <w:sz w:val="24"/>
          <w:szCs w:val="24"/>
        </w:rPr>
      </w:pPr>
    </w:p>
    <w:p w:rsidR="00052B5B" w:rsidRPr="00B77854" w:rsidRDefault="00052B5B" w:rsidP="00B77854">
      <w:pPr>
        <w:spacing w:line="480" w:lineRule="auto"/>
        <w:jc w:val="both"/>
        <w:rPr>
          <w:rFonts w:ascii="Times New Roman" w:hAnsi="Times New Roman" w:cs="Times New Roman"/>
          <w:sz w:val="24"/>
          <w:szCs w:val="24"/>
        </w:rPr>
      </w:pPr>
    </w:p>
    <w:p w:rsidR="00F5724F" w:rsidRPr="00B77854" w:rsidRDefault="00F5724F" w:rsidP="00B77854">
      <w:pPr>
        <w:spacing w:line="480" w:lineRule="auto"/>
        <w:jc w:val="both"/>
        <w:rPr>
          <w:rFonts w:ascii="Times New Roman" w:hAnsi="Times New Roman" w:cs="Times New Roman"/>
          <w:sz w:val="24"/>
          <w:szCs w:val="24"/>
        </w:rPr>
      </w:pPr>
    </w:p>
    <w:p w:rsidR="004108BF" w:rsidRPr="00B77854" w:rsidRDefault="004108BF" w:rsidP="00B77854">
      <w:pPr>
        <w:spacing w:line="480" w:lineRule="auto"/>
        <w:jc w:val="both"/>
        <w:rPr>
          <w:rFonts w:ascii="Times New Roman" w:hAnsi="Times New Roman" w:cs="Times New Roman"/>
          <w:sz w:val="24"/>
          <w:szCs w:val="24"/>
        </w:rPr>
      </w:pPr>
      <w:r w:rsidRPr="00B77854">
        <w:rPr>
          <w:rFonts w:ascii="Times New Roman" w:hAnsi="Times New Roman" w:cs="Times New Roman"/>
          <w:sz w:val="24"/>
          <w:szCs w:val="24"/>
        </w:rPr>
        <w:t xml:space="preserve"> </w:t>
      </w:r>
    </w:p>
    <w:p w:rsidR="00005D62" w:rsidRPr="00B77854" w:rsidRDefault="00005D62" w:rsidP="00B77854">
      <w:pPr>
        <w:spacing w:line="480" w:lineRule="auto"/>
        <w:jc w:val="both"/>
        <w:rPr>
          <w:rFonts w:ascii="Times New Roman" w:hAnsi="Times New Roman" w:cs="Times New Roman"/>
          <w:sz w:val="24"/>
          <w:szCs w:val="24"/>
        </w:rPr>
      </w:pPr>
    </w:p>
    <w:p w:rsidR="0045460D" w:rsidRPr="00B77854" w:rsidRDefault="0045460D" w:rsidP="00B77854">
      <w:pPr>
        <w:spacing w:line="480" w:lineRule="auto"/>
        <w:jc w:val="both"/>
        <w:rPr>
          <w:rFonts w:ascii="Times New Roman" w:hAnsi="Times New Roman" w:cs="Times New Roman"/>
          <w:sz w:val="24"/>
          <w:szCs w:val="24"/>
        </w:rPr>
      </w:pPr>
    </w:p>
    <w:p w:rsidR="009A4321" w:rsidRPr="00B77854" w:rsidRDefault="009A4321" w:rsidP="00B77854">
      <w:pPr>
        <w:spacing w:line="480" w:lineRule="auto"/>
        <w:jc w:val="both"/>
        <w:rPr>
          <w:rFonts w:ascii="Times New Roman" w:hAnsi="Times New Roman" w:cs="Times New Roman"/>
          <w:sz w:val="24"/>
          <w:szCs w:val="24"/>
        </w:rPr>
      </w:pPr>
    </w:p>
    <w:p w:rsidR="000E7524" w:rsidRPr="00B77854" w:rsidRDefault="000E7524" w:rsidP="00B77854">
      <w:pPr>
        <w:spacing w:line="480" w:lineRule="auto"/>
        <w:jc w:val="both"/>
        <w:rPr>
          <w:rFonts w:ascii="Times New Roman" w:hAnsi="Times New Roman" w:cs="Times New Roman"/>
          <w:sz w:val="24"/>
          <w:szCs w:val="24"/>
        </w:rPr>
      </w:pPr>
    </w:p>
    <w:p w:rsidR="0056682C" w:rsidRPr="00B77854" w:rsidRDefault="0056682C" w:rsidP="00B77854">
      <w:pPr>
        <w:spacing w:line="480" w:lineRule="auto"/>
        <w:jc w:val="both"/>
        <w:rPr>
          <w:rFonts w:ascii="Times New Roman" w:hAnsi="Times New Roman" w:cs="Times New Roman"/>
          <w:sz w:val="24"/>
          <w:szCs w:val="24"/>
        </w:rPr>
      </w:pPr>
    </w:p>
    <w:p w:rsidR="00660CD2" w:rsidRPr="00B77854" w:rsidRDefault="00660CD2" w:rsidP="00B77854">
      <w:pPr>
        <w:spacing w:line="480" w:lineRule="auto"/>
        <w:rPr>
          <w:rFonts w:ascii="Times New Roman" w:hAnsi="Times New Roman" w:cs="Times New Roman"/>
          <w:sz w:val="24"/>
          <w:szCs w:val="24"/>
        </w:rPr>
      </w:pPr>
    </w:p>
    <w:p w:rsidR="008615E4" w:rsidRPr="00B77854" w:rsidRDefault="008615E4" w:rsidP="00B77854">
      <w:pPr>
        <w:spacing w:line="480" w:lineRule="auto"/>
        <w:jc w:val="both"/>
        <w:rPr>
          <w:rFonts w:ascii="Times New Roman" w:hAnsi="Times New Roman" w:cs="Times New Roman"/>
          <w:sz w:val="24"/>
          <w:szCs w:val="24"/>
        </w:rPr>
      </w:pPr>
    </w:p>
    <w:p w:rsidR="00564F27" w:rsidRPr="00B77854" w:rsidRDefault="00564F27" w:rsidP="00B77854">
      <w:pPr>
        <w:spacing w:line="480" w:lineRule="auto"/>
        <w:jc w:val="both"/>
        <w:rPr>
          <w:rFonts w:ascii="Times New Roman" w:hAnsi="Times New Roman" w:cs="Times New Roman"/>
          <w:sz w:val="24"/>
          <w:szCs w:val="24"/>
        </w:rPr>
      </w:pPr>
    </w:p>
    <w:sectPr w:rsidR="00564F27" w:rsidRPr="00B77854" w:rsidSect="00741E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DF1" w:rsidRDefault="003A6DF1" w:rsidP="00741E48">
      <w:pPr>
        <w:spacing w:after="0" w:line="240" w:lineRule="auto"/>
      </w:pPr>
      <w:r>
        <w:separator/>
      </w:r>
    </w:p>
  </w:endnote>
  <w:endnote w:type="continuationSeparator" w:id="0">
    <w:p w:rsidR="003A6DF1" w:rsidRDefault="003A6DF1" w:rsidP="00741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DF1" w:rsidRDefault="003A6DF1" w:rsidP="00741E48">
      <w:pPr>
        <w:spacing w:after="0" w:line="240" w:lineRule="auto"/>
      </w:pPr>
      <w:r>
        <w:separator/>
      </w:r>
    </w:p>
  </w:footnote>
  <w:footnote w:type="continuationSeparator" w:id="0">
    <w:p w:rsidR="003A6DF1" w:rsidRDefault="003A6DF1" w:rsidP="00741E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413" w:rsidRPr="00C22413" w:rsidRDefault="00C22413" w:rsidP="00C22413">
    <w:pPr>
      <w:pStyle w:val="Header"/>
      <w:spacing w:line="480" w:lineRule="auto"/>
      <w:jc w:val="right"/>
      <w:rPr>
        <w:rFonts w:ascii="Times New Roman" w:hAnsi="Times New Roman" w:cs="Times New Roman"/>
        <w:sz w:val="24"/>
        <w:szCs w:val="24"/>
      </w:rPr>
    </w:pPr>
    <w:r w:rsidRPr="00C22413">
      <w:rPr>
        <w:rFonts w:ascii="Times New Roman" w:hAnsi="Times New Roman" w:cs="Times New Roman"/>
        <w:sz w:val="24"/>
        <w:szCs w:val="24"/>
      </w:rPr>
      <w:t>EXXONMOBIL CORPORATION’S FINANCIAL ANALYSIS</w:t>
    </w:r>
    <w:sdt>
      <w:sdtPr>
        <w:rPr>
          <w:rFonts w:ascii="Times New Roman" w:hAnsi="Times New Roman" w:cs="Times New Roman"/>
          <w:sz w:val="24"/>
          <w:szCs w:val="24"/>
        </w:rPr>
        <w:id w:val="947129268"/>
        <w:docPartObj>
          <w:docPartGallery w:val="Page Numbers (Top of Page)"/>
          <w:docPartUnique/>
        </w:docPartObj>
      </w:sdtPr>
      <w:sdtEndPr>
        <w:rPr>
          <w:noProof/>
        </w:rPr>
      </w:sdtEndPr>
      <w:sdtContent>
        <w:r>
          <w:rPr>
            <w:rFonts w:ascii="Times New Roman" w:hAnsi="Times New Roman" w:cs="Times New Roman"/>
            <w:sz w:val="24"/>
            <w:szCs w:val="24"/>
          </w:rPr>
          <w:tab/>
        </w:r>
        <w:r w:rsidRPr="00C22413">
          <w:rPr>
            <w:rFonts w:ascii="Times New Roman" w:hAnsi="Times New Roman" w:cs="Times New Roman"/>
            <w:sz w:val="24"/>
            <w:szCs w:val="24"/>
          </w:rPr>
          <w:fldChar w:fldCharType="begin"/>
        </w:r>
        <w:r w:rsidRPr="00C22413">
          <w:rPr>
            <w:rFonts w:ascii="Times New Roman" w:hAnsi="Times New Roman" w:cs="Times New Roman"/>
            <w:sz w:val="24"/>
            <w:szCs w:val="24"/>
          </w:rPr>
          <w:instrText xml:space="preserve"> PAGE   \* MERGEFORMAT </w:instrText>
        </w:r>
        <w:r w:rsidRPr="00C22413">
          <w:rPr>
            <w:rFonts w:ascii="Times New Roman" w:hAnsi="Times New Roman" w:cs="Times New Roman"/>
            <w:sz w:val="24"/>
            <w:szCs w:val="24"/>
          </w:rPr>
          <w:fldChar w:fldCharType="separate"/>
        </w:r>
        <w:r w:rsidR="00C72160">
          <w:rPr>
            <w:rFonts w:ascii="Times New Roman" w:hAnsi="Times New Roman" w:cs="Times New Roman"/>
            <w:noProof/>
            <w:sz w:val="24"/>
            <w:szCs w:val="24"/>
          </w:rPr>
          <w:t>9</w:t>
        </w:r>
        <w:r w:rsidRPr="00C22413">
          <w:rPr>
            <w:rFonts w:ascii="Times New Roman" w:hAnsi="Times New Roman" w:cs="Times New Roman"/>
            <w:noProof/>
            <w:sz w:val="24"/>
            <w:szCs w:val="24"/>
          </w:rPr>
          <w:fldChar w:fldCharType="end"/>
        </w:r>
      </w:sdtContent>
    </w:sdt>
  </w:p>
  <w:p w:rsidR="00C22413" w:rsidRPr="00C22413" w:rsidRDefault="00C22413" w:rsidP="00C2241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E48" w:rsidRPr="00741E48" w:rsidRDefault="00841591" w:rsidP="00741E4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EXXONMOBIL</w:t>
    </w:r>
    <w:r w:rsidR="00741E48" w:rsidRPr="00741E48">
      <w:rPr>
        <w:rFonts w:ascii="Times New Roman" w:hAnsi="Times New Roman" w:cs="Times New Roman"/>
        <w:sz w:val="24"/>
        <w:szCs w:val="24"/>
      </w:rPr>
      <w:t xml:space="preserve"> CORPORATION</w:t>
    </w:r>
    <w:r w:rsidR="00874E2C">
      <w:rPr>
        <w:rFonts w:ascii="Times New Roman" w:hAnsi="Times New Roman" w:cs="Times New Roman"/>
        <w:sz w:val="24"/>
        <w:szCs w:val="24"/>
      </w:rPr>
      <w:t>’S</w:t>
    </w:r>
    <w:r w:rsidR="00741E48" w:rsidRPr="00741E48">
      <w:rPr>
        <w:rFonts w:ascii="Times New Roman" w:hAnsi="Times New Roman" w:cs="Times New Roman"/>
        <w:sz w:val="24"/>
        <w:szCs w:val="24"/>
      </w:rPr>
      <w:t xml:space="preserve"> FINANCIAL ANALYSIS</w:t>
    </w:r>
    <w:sdt>
      <w:sdtPr>
        <w:rPr>
          <w:rFonts w:ascii="Times New Roman" w:hAnsi="Times New Roman" w:cs="Times New Roman"/>
          <w:sz w:val="24"/>
          <w:szCs w:val="24"/>
        </w:rPr>
        <w:id w:val="1010721390"/>
        <w:docPartObj>
          <w:docPartGallery w:val="Page Numbers (Top of Page)"/>
          <w:docPartUnique/>
        </w:docPartObj>
      </w:sdtPr>
      <w:sdtEndPr>
        <w:rPr>
          <w:noProof/>
        </w:rPr>
      </w:sdtEndPr>
      <w:sdtContent>
        <w:r w:rsidR="00741E48">
          <w:rPr>
            <w:rFonts w:ascii="Times New Roman" w:hAnsi="Times New Roman" w:cs="Times New Roman"/>
            <w:sz w:val="24"/>
            <w:szCs w:val="24"/>
          </w:rPr>
          <w:tab/>
        </w:r>
        <w:r w:rsidR="00741E48" w:rsidRPr="00741E48">
          <w:rPr>
            <w:rFonts w:ascii="Times New Roman" w:hAnsi="Times New Roman" w:cs="Times New Roman"/>
            <w:sz w:val="24"/>
            <w:szCs w:val="24"/>
          </w:rPr>
          <w:fldChar w:fldCharType="begin"/>
        </w:r>
        <w:r w:rsidR="00741E48" w:rsidRPr="00741E48">
          <w:rPr>
            <w:rFonts w:ascii="Times New Roman" w:hAnsi="Times New Roman" w:cs="Times New Roman"/>
            <w:sz w:val="24"/>
            <w:szCs w:val="24"/>
          </w:rPr>
          <w:instrText xml:space="preserve"> PAGE   \* MERGEFORMAT </w:instrText>
        </w:r>
        <w:r w:rsidR="00741E48" w:rsidRPr="00741E48">
          <w:rPr>
            <w:rFonts w:ascii="Times New Roman" w:hAnsi="Times New Roman" w:cs="Times New Roman"/>
            <w:sz w:val="24"/>
            <w:szCs w:val="24"/>
          </w:rPr>
          <w:fldChar w:fldCharType="separate"/>
        </w:r>
        <w:r w:rsidR="00287C75">
          <w:rPr>
            <w:rFonts w:ascii="Times New Roman" w:hAnsi="Times New Roman" w:cs="Times New Roman"/>
            <w:noProof/>
            <w:sz w:val="24"/>
            <w:szCs w:val="24"/>
          </w:rPr>
          <w:t>1</w:t>
        </w:r>
        <w:r w:rsidR="00741E48" w:rsidRPr="00741E48">
          <w:rPr>
            <w:rFonts w:ascii="Times New Roman" w:hAnsi="Times New Roman" w:cs="Times New Roman"/>
            <w:noProof/>
            <w:sz w:val="24"/>
            <w:szCs w:val="24"/>
          </w:rPr>
          <w:fldChar w:fldCharType="end"/>
        </w:r>
      </w:sdtContent>
    </w:sdt>
  </w:p>
  <w:p w:rsidR="00741E48" w:rsidRDefault="00741E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601D29"/>
    <w:multiLevelType w:val="hybridMultilevel"/>
    <w:tmpl w:val="BADC1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76A"/>
    <w:rsid w:val="0000434B"/>
    <w:rsid w:val="00005D62"/>
    <w:rsid w:val="00013E6F"/>
    <w:rsid w:val="00023B7B"/>
    <w:rsid w:val="00051719"/>
    <w:rsid w:val="00052B5B"/>
    <w:rsid w:val="0005549A"/>
    <w:rsid w:val="0009378D"/>
    <w:rsid w:val="000D0355"/>
    <w:rsid w:val="000E7524"/>
    <w:rsid w:val="000F3985"/>
    <w:rsid w:val="00117A88"/>
    <w:rsid w:val="0012027E"/>
    <w:rsid w:val="00147BAC"/>
    <w:rsid w:val="00147BAF"/>
    <w:rsid w:val="001947CC"/>
    <w:rsid w:val="001B2C27"/>
    <w:rsid w:val="001B4747"/>
    <w:rsid w:val="001C076A"/>
    <w:rsid w:val="001C4F92"/>
    <w:rsid w:val="001F240A"/>
    <w:rsid w:val="001F5A5A"/>
    <w:rsid w:val="002018C9"/>
    <w:rsid w:val="00212F0E"/>
    <w:rsid w:val="00221586"/>
    <w:rsid w:val="00225D0D"/>
    <w:rsid w:val="00233846"/>
    <w:rsid w:val="002375D8"/>
    <w:rsid w:val="00237821"/>
    <w:rsid w:val="00240090"/>
    <w:rsid w:val="00242DC7"/>
    <w:rsid w:val="00243B6F"/>
    <w:rsid w:val="00244A26"/>
    <w:rsid w:val="00246E77"/>
    <w:rsid w:val="00257852"/>
    <w:rsid w:val="00260256"/>
    <w:rsid w:val="00287C75"/>
    <w:rsid w:val="00294857"/>
    <w:rsid w:val="002B5470"/>
    <w:rsid w:val="002C6D29"/>
    <w:rsid w:val="002F5334"/>
    <w:rsid w:val="003172DF"/>
    <w:rsid w:val="00323760"/>
    <w:rsid w:val="00354861"/>
    <w:rsid w:val="00360A15"/>
    <w:rsid w:val="00385EFF"/>
    <w:rsid w:val="003901C5"/>
    <w:rsid w:val="003931F2"/>
    <w:rsid w:val="003A1C07"/>
    <w:rsid w:val="003A6DF1"/>
    <w:rsid w:val="004108BF"/>
    <w:rsid w:val="0043176A"/>
    <w:rsid w:val="00435168"/>
    <w:rsid w:val="0045460D"/>
    <w:rsid w:val="00463B42"/>
    <w:rsid w:val="004706A3"/>
    <w:rsid w:val="004751ED"/>
    <w:rsid w:val="004769BE"/>
    <w:rsid w:val="00494B5F"/>
    <w:rsid w:val="004A6251"/>
    <w:rsid w:val="004B780C"/>
    <w:rsid w:val="004C04CC"/>
    <w:rsid w:val="004F2396"/>
    <w:rsid w:val="00561873"/>
    <w:rsid w:val="005622C9"/>
    <w:rsid w:val="00564F27"/>
    <w:rsid w:val="0056682C"/>
    <w:rsid w:val="005755A7"/>
    <w:rsid w:val="0058013B"/>
    <w:rsid w:val="00593CE8"/>
    <w:rsid w:val="005B0ABD"/>
    <w:rsid w:val="005B3799"/>
    <w:rsid w:val="005C5A14"/>
    <w:rsid w:val="005E385C"/>
    <w:rsid w:val="00660CD2"/>
    <w:rsid w:val="006714FC"/>
    <w:rsid w:val="00690824"/>
    <w:rsid w:val="00692758"/>
    <w:rsid w:val="006975C3"/>
    <w:rsid w:val="006C69B7"/>
    <w:rsid w:val="006D5CE4"/>
    <w:rsid w:val="006F0D77"/>
    <w:rsid w:val="00705D4D"/>
    <w:rsid w:val="00721383"/>
    <w:rsid w:val="00741E48"/>
    <w:rsid w:val="00750829"/>
    <w:rsid w:val="0076130E"/>
    <w:rsid w:val="00774558"/>
    <w:rsid w:val="007765C7"/>
    <w:rsid w:val="00792950"/>
    <w:rsid w:val="007971D1"/>
    <w:rsid w:val="007A1639"/>
    <w:rsid w:val="007E0316"/>
    <w:rsid w:val="00804CE7"/>
    <w:rsid w:val="00841591"/>
    <w:rsid w:val="008426F8"/>
    <w:rsid w:val="008615E4"/>
    <w:rsid w:val="00874E2C"/>
    <w:rsid w:val="00881944"/>
    <w:rsid w:val="008A680D"/>
    <w:rsid w:val="008D586A"/>
    <w:rsid w:val="008E45C0"/>
    <w:rsid w:val="00911508"/>
    <w:rsid w:val="009333F7"/>
    <w:rsid w:val="009410BD"/>
    <w:rsid w:val="00990309"/>
    <w:rsid w:val="009A17F6"/>
    <w:rsid w:val="009A4321"/>
    <w:rsid w:val="009A61E0"/>
    <w:rsid w:val="009B6668"/>
    <w:rsid w:val="009C6170"/>
    <w:rsid w:val="009D6882"/>
    <w:rsid w:val="009F1C28"/>
    <w:rsid w:val="00A117FA"/>
    <w:rsid w:val="00A12C43"/>
    <w:rsid w:val="00A25512"/>
    <w:rsid w:val="00A40ECD"/>
    <w:rsid w:val="00A41821"/>
    <w:rsid w:val="00A65B23"/>
    <w:rsid w:val="00A85CAA"/>
    <w:rsid w:val="00AA5B8F"/>
    <w:rsid w:val="00AA7868"/>
    <w:rsid w:val="00AB30CA"/>
    <w:rsid w:val="00AF41FB"/>
    <w:rsid w:val="00AF6A30"/>
    <w:rsid w:val="00B1650F"/>
    <w:rsid w:val="00B36705"/>
    <w:rsid w:val="00B405CD"/>
    <w:rsid w:val="00B60DD7"/>
    <w:rsid w:val="00B640FC"/>
    <w:rsid w:val="00B71EF4"/>
    <w:rsid w:val="00B77854"/>
    <w:rsid w:val="00B923D8"/>
    <w:rsid w:val="00B954C2"/>
    <w:rsid w:val="00B97831"/>
    <w:rsid w:val="00BA5FAF"/>
    <w:rsid w:val="00BB2BCA"/>
    <w:rsid w:val="00BC44DA"/>
    <w:rsid w:val="00BC7AF7"/>
    <w:rsid w:val="00C15294"/>
    <w:rsid w:val="00C22413"/>
    <w:rsid w:val="00C24687"/>
    <w:rsid w:val="00C51C84"/>
    <w:rsid w:val="00C560DA"/>
    <w:rsid w:val="00C620E2"/>
    <w:rsid w:val="00C72160"/>
    <w:rsid w:val="00C82326"/>
    <w:rsid w:val="00C9616A"/>
    <w:rsid w:val="00CB7241"/>
    <w:rsid w:val="00CE3B62"/>
    <w:rsid w:val="00CE45C0"/>
    <w:rsid w:val="00D26531"/>
    <w:rsid w:val="00D36194"/>
    <w:rsid w:val="00D434A0"/>
    <w:rsid w:val="00D506E3"/>
    <w:rsid w:val="00D50BF8"/>
    <w:rsid w:val="00D56DC7"/>
    <w:rsid w:val="00D63BF8"/>
    <w:rsid w:val="00D64985"/>
    <w:rsid w:val="00D670F9"/>
    <w:rsid w:val="00D9264E"/>
    <w:rsid w:val="00DA1686"/>
    <w:rsid w:val="00DA6390"/>
    <w:rsid w:val="00DE0419"/>
    <w:rsid w:val="00DF282F"/>
    <w:rsid w:val="00DF585E"/>
    <w:rsid w:val="00DF6087"/>
    <w:rsid w:val="00E039A7"/>
    <w:rsid w:val="00E04916"/>
    <w:rsid w:val="00E0546D"/>
    <w:rsid w:val="00E07467"/>
    <w:rsid w:val="00E337B4"/>
    <w:rsid w:val="00E55554"/>
    <w:rsid w:val="00E628CA"/>
    <w:rsid w:val="00E67381"/>
    <w:rsid w:val="00E809DE"/>
    <w:rsid w:val="00EA4C0F"/>
    <w:rsid w:val="00F162DF"/>
    <w:rsid w:val="00F21DDA"/>
    <w:rsid w:val="00F2368D"/>
    <w:rsid w:val="00F24638"/>
    <w:rsid w:val="00F37874"/>
    <w:rsid w:val="00F44F9C"/>
    <w:rsid w:val="00F55660"/>
    <w:rsid w:val="00F5724F"/>
    <w:rsid w:val="00F5747F"/>
    <w:rsid w:val="00F703C5"/>
    <w:rsid w:val="00F7533E"/>
    <w:rsid w:val="00F94B13"/>
    <w:rsid w:val="00FA0A3E"/>
    <w:rsid w:val="00FA3BA9"/>
    <w:rsid w:val="00FD2F19"/>
    <w:rsid w:val="00FD38C7"/>
    <w:rsid w:val="00FF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1D51E-A3F5-44B8-A7D7-E9D1E71F3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F6087"/>
    <w:pPr>
      <w:pBdr>
        <w:top w:val="nil"/>
        <w:left w:val="nil"/>
        <w:bottom w:val="nil"/>
        <w:right w:val="nil"/>
        <w:between w:val="nil"/>
      </w:pBdr>
    </w:pPr>
    <w:rPr>
      <w:rFonts w:ascii="Calibri" w:eastAsia="Calibri" w:hAnsi="Calibri" w:cs="Calibri"/>
      <w:color w:val="000000"/>
    </w:rPr>
  </w:style>
  <w:style w:type="paragraph" w:styleId="Header">
    <w:name w:val="header"/>
    <w:basedOn w:val="Normal"/>
    <w:link w:val="HeaderChar"/>
    <w:uiPriority w:val="99"/>
    <w:unhideWhenUsed/>
    <w:rsid w:val="00741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E48"/>
  </w:style>
  <w:style w:type="paragraph" w:styleId="Footer">
    <w:name w:val="footer"/>
    <w:basedOn w:val="Normal"/>
    <w:link w:val="FooterChar"/>
    <w:uiPriority w:val="99"/>
    <w:unhideWhenUsed/>
    <w:rsid w:val="00741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E48"/>
  </w:style>
  <w:style w:type="paragraph" w:styleId="ListParagraph">
    <w:name w:val="List Paragraph"/>
    <w:basedOn w:val="Normal"/>
    <w:uiPriority w:val="34"/>
    <w:qFormat/>
    <w:rsid w:val="00DF5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NYS18</b:Tag>
    <b:SourceType>InternetSite</b:SourceType>
    <b:Guid>{0862E1C9-A51E-494D-92EF-C0C2AC92AF46}</b:Guid>
    <b:Author>
      <b:Author>
        <b:NameList>
          <b:Person>
            <b:Last>NYSE</b:Last>
          </b:Person>
        </b:NameList>
      </b:Author>
    </b:Author>
    <b:Title>Stock Analysis on Net</b:Title>
    <b:InternetSiteTitle>100. U.S. Stock Market Leaders</b:InternetSiteTitle>
    <b:Year>2018</b:Year>
    <b:Month>June</b:Month>
    <b:Day>Sunday</b:Day>
    <b:URL>https://www.stock-analysis-on.net/NYSE/Company/Exxon-Mobil-Corp</b:URL>
    <b:RefOrder>1</b:RefOrder>
  </b:Source>
</b:Sources>
</file>

<file path=customXml/itemProps1.xml><?xml version="1.0" encoding="utf-8"?>
<ds:datastoreItem xmlns:ds="http://schemas.openxmlformats.org/officeDocument/2006/customXml" ds:itemID="{45A53193-DB66-4B5B-9557-2D8493A24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9</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237</cp:revision>
  <dcterms:created xsi:type="dcterms:W3CDTF">2018-06-17T05:15:00Z</dcterms:created>
  <dcterms:modified xsi:type="dcterms:W3CDTF">2018-06-17T10:04:00Z</dcterms:modified>
</cp:coreProperties>
</file>